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3E2" w:rsidRDefault="008043E2" w:rsidP="00923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одним арбитром</w:t>
      </w:r>
    </w:p>
    <w:p w:rsidR="00625562" w:rsidRDefault="00923384" w:rsidP="00923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384">
        <w:rPr>
          <w:rFonts w:ascii="Times New Roman" w:hAnsi="Times New Roman" w:cs="Times New Roman"/>
          <w:color w:val="000000"/>
          <w:sz w:val="24"/>
          <w:szCs w:val="24"/>
        </w:rPr>
        <w:t xml:space="preserve">Любые споры, разногласия, требования или претензии, возникающие из настоящего договора (соглашения) или в связи с ним, либо вытекающие из него, в том числе касающиеся его исполнения, нарушения, прекращения, расторжения или недействительности, подлежат разрешению в Международном Третейском суде при Торгово-промышленной палате Кыргызской Республики в соответствии с Регламентом Международного Третейского суда при Торгово-промышленной палате Кыргызской Республики </w:t>
      </w:r>
      <w:r w:rsidR="00BC2E45">
        <w:rPr>
          <w:rFonts w:ascii="Times New Roman" w:hAnsi="Times New Roman" w:cs="Times New Roman"/>
          <w:color w:val="000000"/>
          <w:sz w:val="24"/>
          <w:szCs w:val="24"/>
        </w:rPr>
        <w:t>одним</w:t>
      </w:r>
      <w:r w:rsidRPr="00923384">
        <w:rPr>
          <w:rFonts w:ascii="Times New Roman" w:hAnsi="Times New Roman" w:cs="Times New Roman"/>
          <w:color w:val="000000"/>
          <w:sz w:val="24"/>
          <w:szCs w:val="24"/>
        </w:rPr>
        <w:t xml:space="preserve"> арбитр</w:t>
      </w:r>
      <w:r w:rsidR="00BC2E4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23384">
        <w:rPr>
          <w:rFonts w:ascii="Times New Roman" w:hAnsi="Times New Roman" w:cs="Times New Roman"/>
          <w:color w:val="000000"/>
          <w:sz w:val="24"/>
          <w:szCs w:val="24"/>
        </w:rPr>
        <w:t>, избранным в соответствии с этим Регламентом. Применимым материальным правом, в соответствии с которым будет рассматриваться спор, является законодательство Кыргызской Республики. Третейское разбирательство должно проводиться на русском языке. Решение Международного Третейского суда при Торгово-промышленной палате Кыргызской Республики является окончательным.</w:t>
      </w:r>
    </w:p>
    <w:p w:rsidR="00BC2E45" w:rsidRDefault="00BC2E45" w:rsidP="00923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43E2" w:rsidRDefault="008043E2" w:rsidP="00923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двумя арбитрами</w:t>
      </w:r>
    </w:p>
    <w:p w:rsidR="00BC2E45" w:rsidRPr="00923384" w:rsidRDefault="00BC2E45" w:rsidP="00BC2E45">
      <w:pPr>
        <w:jc w:val="both"/>
        <w:rPr>
          <w:rFonts w:ascii="Times New Roman" w:hAnsi="Times New Roman" w:cs="Times New Roman"/>
          <w:sz w:val="24"/>
          <w:szCs w:val="24"/>
        </w:rPr>
      </w:pPr>
      <w:r w:rsidRPr="00923384">
        <w:rPr>
          <w:rFonts w:ascii="Times New Roman" w:hAnsi="Times New Roman" w:cs="Times New Roman"/>
          <w:color w:val="000000"/>
          <w:sz w:val="24"/>
          <w:szCs w:val="24"/>
        </w:rPr>
        <w:t>Любые споры, разногласия, требования или претензии, возникающие из настоящего договора (соглашения) или в связи с ним, либо вытекающие из него, в том числе касающиеся его исполнения, нарушения, прекращения, расторжения или недействительности, подлежат разрешению в Международном Третейском суде при Торгово-промышленной палате Кыргызской Республики в соответствии с Регламентом Международного Третейского суда при Торгово-промышленной палате Кыргызской Республики тремя арбитрами, избранными в соответствии с этим Регламентом. Применимым материальным правом, в соответствии с которым будет рассматриваться спор, является законодательство Кыргызской Республики. Третейское разбирательство должно проводиться на русском языке. Решение Международного Третейского суда при Торгово-промышленной палате Кыргызской Республики является окончательным.</w:t>
      </w:r>
    </w:p>
    <w:p w:rsidR="00BC2E45" w:rsidRPr="00923384" w:rsidRDefault="00BC2E45" w:rsidP="009233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E45" w:rsidRPr="0092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62"/>
    <w:rsid w:val="00037480"/>
    <w:rsid w:val="00625562"/>
    <w:rsid w:val="008043E2"/>
    <w:rsid w:val="00923384"/>
    <w:rsid w:val="00B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D6CA"/>
  <w15:chartTrackingRefBased/>
  <w15:docId w15:val="{ACEA21B6-E160-4372-9832-F1050899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Tilek</cp:lastModifiedBy>
  <cp:revision>4</cp:revision>
  <dcterms:created xsi:type="dcterms:W3CDTF">2023-01-24T10:11:00Z</dcterms:created>
  <dcterms:modified xsi:type="dcterms:W3CDTF">2025-09-30T15:41:00Z</dcterms:modified>
</cp:coreProperties>
</file>